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Методы исследования в управлении</w:t>
            </w:r>
          </w:p>
          <w:p>
            <w:pPr>
              <w:jc w:val="center"/>
              <w:spacing w:after="0" w:line="240" w:lineRule="auto"/>
              <w:rPr>
                <w:sz w:val="32"/>
                <w:szCs w:val="32"/>
              </w:rPr>
            </w:pPr>
            <w:r>
              <w:rPr>
                <w:rFonts w:ascii="Times New Roman" w:hAnsi="Times New Roman" w:cs="Times New Roman"/>
                <w:color w:val="#000000"/>
                <w:sz w:val="32"/>
                <w:szCs w:val="32"/>
              </w:rPr>
              <w:t> К.М.03.07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«Методы исследования в управлении»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К.М.03.07 «Методы исследования в управлении».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«Методы исследования в управлении»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по обеспечению персоналом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технологии, методы и методики проведения анализа и систематизации документов и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порядок определения перспективной и текущей потребности в кадрах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общие тенденции на рынке труда и в отдельной отрасли, конкретной профессии (должности, специальности)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ПК-2.24 уметь собирать,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 задач, планов и структуры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уметь собирать, анализировать и структурировать информацию об особенностях и возможностях кадрового потенциала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уметь собирать, анализировать и структурировать информацию об особенностях рынка труда, включая предложения от провайдеров услуг по поиску, привлечению, подбору и отбору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уметь формировать требования к вакантной должности (профессии, специальности) и определять критерии подбора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уметь пользоваться поисковыми системами и информационными ресурсами для мониторинга рынка труда, трудового законодательства Российской Федерации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уметь определять критерии поиска, привлечения, подбора и отбора персонала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ПК-2.52 владеть навыками формирования требований к вакантной должности (профессии, специальности) и их коррекция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ПК-2.53 владеть навыками анализа рынка труда и персонала организации по профилю вакантной должности (профессии, специальности)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ПК-2.57 владеть навыками выбора способов и методов привлечения персонала в соответствии с утвержденными планами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К.М.03.07 «Методы исследования в управлении» относится к обязательной части, является дисциплиной Блока Б1. «Дисциплины (модули)». Модуль "Организация обучения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управления</w:t>
            </w:r>
          </w:p>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Методологические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Планирование и организация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069.7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Наука как вид человеческой деятельности</w:t>
            </w:r>
          </w:p>
          <w:p>
            <w:pPr>
              <w:jc w:val="both"/>
              <w:spacing w:after="0" w:line="240" w:lineRule="auto"/>
              <w:rPr>
                <w:sz w:val="24"/>
                <w:szCs w:val="24"/>
              </w:rPr>
            </w:pPr>
            <w:r>
              <w:rPr>
                <w:rFonts w:ascii="Times New Roman" w:hAnsi="Times New Roman" w:cs="Times New Roman"/>
                <w:color w:val="#000000"/>
                <w:sz w:val="24"/>
                <w:szCs w:val="24"/>
              </w:rPr>
              <w:t> 2. Сущность и структура науки как особого вида знания</w:t>
            </w:r>
          </w:p>
          <w:p>
            <w:pPr>
              <w:jc w:val="both"/>
              <w:spacing w:after="0" w:line="240" w:lineRule="auto"/>
              <w:rPr>
                <w:sz w:val="24"/>
                <w:szCs w:val="24"/>
              </w:rPr>
            </w:pPr>
            <w:r>
              <w:rPr>
                <w:rFonts w:ascii="Times New Roman" w:hAnsi="Times New Roman" w:cs="Times New Roman"/>
                <w:color w:val="#000000"/>
                <w:sz w:val="24"/>
                <w:szCs w:val="24"/>
              </w:rPr>
              <w:t> 3. Типология научных исследований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и тенденции развития науки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науки</w:t>
            </w:r>
          </w:p>
          <w:p>
            <w:pPr>
              <w:jc w:val="both"/>
              <w:spacing w:after="0" w:line="240" w:lineRule="auto"/>
              <w:rPr>
                <w:sz w:val="24"/>
                <w:szCs w:val="24"/>
              </w:rPr>
            </w:pPr>
            <w:r>
              <w:rPr>
                <w:rFonts w:ascii="Times New Roman" w:hAnsi="Times New Roman" w:cs="Times New Roman"/>
                <w:color w:val="#000000"/>
                <w:sz w:val="24"/>
                <w:szCs w:val="24"/>
              </w:rPr>
              <w:t> 2. Понятие научной революции. Тенденции развития науки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научных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Законодательные акты, регламентирующие управление научной деятельностью</w:t>
            </w:r>
          </w:p>
          <w:p>
            <w:pPr>
              <w:jc w:val="both"/>
              <w:spacing w:after="0" w:line="240" w:lineRule="auto"/>
              <w:rPr>
                <w:sz w:val="24"/>
                <w:szCs w:val="24"/>
              </w:rPr>
            </w:pPr>
            <w:r>
              <w:rPr>
                <w:rFonts w:ascii="Times New Roman" w:hAnsi="Times New Roman" w:cs="Times New Roman"/>
                <w:color w:val="#000000"/>
                <w:sz w:val="24"/>
                <w:szCs w:val="24"/>
              </w:rPr>
              <w:t> 2. Нормативные документы, регламентирующие организацию фундаментальных и прикладных исследований</w:t>
            </w:r>
          </w:p>
          <w:p>
            <w:pPr>
              <w:jc w:val="both"/>
              <w:spacing w:after="0" w:line="240" w:lineRule="auto"/>
              <w:rPr>
                <w:sz w:val="24"/>
                <w:szCs w:val="24"/>
              </w:rPr>
            </w:pPr>
            <w:r>
              <w:rPr>
                <w:rFonts w:ascii="Times New Roman" w:hAnsi="Times New Roman" w:cs="Times New Roman"/>
                <w:color w:val="#000000"/>
                <w:sz w:val="24"/>
                <w:szCs w:val="24"/>
              </w:rPr>
              <w:t> 3. Акты правовой охраны интеллектуальной собственности ученых</w:t>
            </w:r>
          </w:p>
          <w:p>
            <w:pPr>
              <w:jc w:val="both"/>
              <w:spacing w:after="0" w:line="240" w:lineRule="auto"/>
              <w:rPr>
                <w:sz w:val="24"/>
                <w:szCs w:val="24"/>
              </w:rPr>
            </w:pPr>
            <w:r>
              <w:rPr>
                <w:rFonts w:ascii="Times New Roman" w:hAnsi="Times New Roman" w:cs="Times New Roman"/>
                <w:color w:val="#000000"/>
                <w:sz w:val="24"/>
                <w:szCs w:val="24"/>
              </w:rPr>
              <w:t> 4. Правовая база выполнения квалификационных исследований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методе и методологии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методе и методологии исследования. Уровни методологии</w:t>
            </w:r>
          </w:p>
          <w:p>
            <w:pPr>
              <w:jc w:val="both"/>
              <w:spacing w:after="0" w:line="240" w:lineRule="auto"/>
              <w:rPr>
                <w:sz w:val="24"/>
                <w:szCs w:val="24"/>
              </w:rPr>
            </w:pPr>
            <w:r>
              <w:rPr>
                <w:rFonts w:ascii="Times New Roman" w:hAnsi="Times New Roman" w:cs="Times New Roman"/>
                <w:color w:val="#000000"/>
                <w:sz w:val="24"/>
                <w:szCs w:val="24"/>
              </w:rPr>
              <w:t> 2. Универсалии науки</w:t>
            </w:r>
          </w:p>
          <w:p>
            <w:pPr>
              <w:jc w:val="both"/>
              <w:spacing w:after="0" w:line="240" w:lineRule="auto"/>
              <w:rPr>
                <w:sz w:val="24"/>
                <w:szCs w:val="24"/>
              </w:rPr>
            </w:pPr>
            <w:r>
              <w:rPr>
                <w:rFonts w:ascii="Times New Roman" w:hAnsi="Times New Roman" w:cs="Times New Roman"/>
                <w:color w:val="#000000"/>
                <w:sz w:val="24"/>
                <w:szCs w:val="24"/>
              </w:rPr>
              <w:t> 3. Типология методов научных исследований</w:t>
            </w:r>
          </w:p>
          <w:p>
            <w:pPr>
              <w:jc w:val="both"/>
              <w:spacing w:after="0" w:line="240" w:lineRule="auto"/>
              <w:rPr>
                <w:sz w:val="24"/>
                <w:szCs w:val="24"/>
              </w:rPr>
            </w:pPr>
            <w:r>
              <w:rPr>
                <w:rFonts w:ascii="Times New Roman" w:hAnsi="Times New Roman" w:cs="Times New Roman"/>
                <w:color w:val="#000000"/>
                <w:sz w:val="24"/>
                <w:szCs w:val="24"/>
              </w:rPr>
              <w:t> 4. Логика научного исследования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научного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Общий алгоритм проведения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2. Выбор направления и темы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3. Постановка научно-практической задачи (проблемы)</w:t>
            </w:r>
          </w:p>
          <w:p>
            <w:pPr>
              <w:jc w:val="both"/>
              <w:spacing w:after="0" w:line="240" w:lineRule="auto"/>
              <w:rPr>
                <w:sz w:val="24"/>
                <w:szCs w:val="24"/>
              </w:rPr>
            </w:pPr>
            <w:r>
              <w:rPr>
                <w:rFonts w:ascii="Times New Roman" w:hAnsi="Times New Roman" w:cs="Times New Roman"/>
                <w:color w:val="#000000"/>
                <w:sz w:val="24"/>
                <w:szCs w:val="24"/>
              </w:rPr>
              <w:t> 4. Разработка научной гипотезы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исследования. Основы эксперимента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теоретических исследований</w:t>
            </w:r>
          </w:p>
          <w:p>
            <w:pPr>
              <w:jc w:val="both"/>
              <w:spacing w:after="0" w:line="240" w:lineRule="auto"/>
              <w:rPr>
                <w:sz w:val="24"/>
                <w:szCs w:val="24"/>
              </w:rPr>
            </w:pPr>
            <w:r>
              <w:rPr>
                <w:rFonts w:ascii="Times New Roman" w:hAnsi="Times New Roman" w:cs="Times New Roman"/>
                <w:color w:val="#000000"/>
                <w:sz w:val="24"/>
                <w:szCs w:val="24"/>
              </w:rPr>
              <w:t> 2. Методы проведения теоретических исследований</w:t>
            </w:r>
          </w:p>
          <w:p>
            <w:pPr>
              <w:jc w:val="both"/>
              <w:spacing w:after="0" w:line="240" w:lineRule="auto"/>
              <w:rPr>
                <w:sz w:val="24"/>
                <w:szCs w:val="24"/>
              </w:rPr>
            </w:pPr>
            <w:r>
              <w:rPr>
                <w:rFonts w:ascii="Times New Roman" w:hAnsi="Times New Roman" w:cs="Times New Roman"/>
                <w:color w:val="#000000"/>
                <w:sz w:val="24"/>
                <w:szCs w:val="24"/>
              </w:rPr>
              <w:t> 3. Основы системного анализа</w:t>
            </w:r>
          </w:p>
          <w:p>
            <w:pPr>
              <w:jc w:val="both"/>
              <w:spacing w:after="0" w:line="240" w:lineRule="auto"/>
              <w:rPr>
                <w:sz w:val="24"/>
                <w:szCs w:val="24"/>
              </w:rPr>
            </w:pPr>
            <w:r>
              <w:rPr>
                <w:rFonts w:ascii="Times New Roman" w:hAnsi="Times New Roman" w:cs="Times New Roman"/>
                <w:color w:val="#000000"/>
                <w:sz w:val="24"/>
                <w:szCs w:val="24"/>
              </w:rPr>
              <w:t> 4. Сущность и виды эмпирических исследований</w:t>
            </w:r>
          </w:p>
          <w:p>
            <w:pPr>
              <w:jc w:val="both"/>
              <w:spacing w:after="0" w:line="240" w:lineRule="auto"/>
              <w:rPr>
                <w:sz w:val="24"/>
                <w:szCs w:val="24"/>
              </w:rPr>
            </w:pPr>
            <w:r>
              <w:rPr>
                <w:rFonts w:ascii="Times New Roman" w:hAnsi="Times New Roman" w:cs="Times New Roman"/>
                <w:color w:val="#000000"/>
                <w:sz w:val="24"/>
                <w:szCs w:val="24"/>
              </w:rPr>
              <w:t> 5. Методы проведения эмпирических исследований</w:t>
            </w:r>
          </w:p>
          <w:p>
            <w:pPr>
              <w:jc w:val="both"/>
              <w:spacing w:after="0" w:line="240" w:lineRule="auto"/>
              <w:rPr>
                <w:sz w:val="24"/>
                <w:szCs w:val="24"/>
              </w:rPr>
            </w:pPr>
            <w:r>
              <w:rPr>
                <w:rFonts w:ascii="Times New Roman" w:hAnsi="Times New Roman" w:cs="Times New Roman"/>
                <w:color w:val="#000000"/>
                <w:sz w:val="24"/>
                <w:szCs w:val="24"/>
              </w:rPr>
              <w:t> 6. Основы моделирования</w:t>
            </w:r>
          </w:p>
          <w:p>
            <w:pPr>
              <w:jc w:val="both"/>
              <w:spacing w:after="0" w:line="240" w:lineRule="auto"/>
              <w:rPr>
                <w:sz w:val="24"/>
                <w:szCs w:val="24"/>
              </w:rPr>
            </w:pPr>
            <w:r>
              <w:rPr>
                <w:rFonts w:ascii="Times New Roman" w:hAnsi="Times New Roman" w:cs="Times New Roman"/>
                <w:color w:val="#000000"/>
                <w:sz w:val="24"/>
                <w:szCs w:val="24"/>
              </w:rPr>
              <w:t> 7. Сущность и виды эксперимента</w:t>
            </w:r>
          </w:p>
          <w:p>
            <w:pPr>
              <w:jc w:val="both"/>
              <w:spacing w:after="0" w:line="240" w:lineRule="auto"/>
              <w:rPr>
                <w:sz w:val="24"/>
                <w:szCs w:val="24"/>
              </w:rPr>
            </w:pPr>
            <w:r>
              <w:rPr>
                <w:rFonts w:ascii="Times New Roman" w:hAnsi="Times New Roman" w:cs="Times New Roman"/>
                <w:color w:val="#000000"/>
                <w:sz w:val="24"/>
                <w:szCs w:val="24"/>
              </w:rPr>
              <w:t> 8. Основы теории эксперимента</w:t>
            </w:r>
          </w:p>
          <w:p>
            <w:pPr>
              <w:jc w:val="both"/>
              <w:spacing w:after="0" w:line="240" w:lineRule="auto"/>
              <w:rPr>
                <w:sz w:val="24"/>
                <w:szCs w:val="24"/>
              </w:rPr>
            </w:pPr>
            <w:r>
              <w:rPr>
                <w:rFonts w:ascii="Times New Roman" w:hAnsi="Times New Roman" w:cs="Times New Roman"/>
                <w:color w:val="#000000"/>
                <w:sz w:val="24"/>
                <w:szCs w:val="24"/>
              </w:rPr>
              <w:t> 9. Планирование эксперимента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организации и проведения научных исследований в экономической науке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Алгоритм проведения социально-экономических исследований</w:t>
            </w:r>
          </w:p>
          <w:p>
            <w:pPr>
              <w:jc w:val="both"/>
              <w:spacing w:after="0" w:line="240" w:lineRule="auto"/>
              <w:rPr>
                <w:sz w:val="24"/>
                <w:szCs w:val="24"/>
              </w:rPr>
            </w:pPr>
            <w:r>
              <w:rPr>
                <w:rFonts w:ascii="Times New Roman" w:hAnsi="Times New Roman" w:cs="Times New Roman"/>
                <w:color w:val="#000000"/>
                <w:sz w:val="24"/>
                <w:szCs w:val="24"/>
              </w:rPr>
              <w:t> 2. Организационные аспекты проведения социально-экономических исследований</w:t>
            </w:r>
          </w:p>
          <w:p>
            <w:pPr>
              <w:jc w:val="both"/>
              <w:spacing w:after="0" w:line="240" w:lineRule="auto"/>
              <w:rPr>
                <w:sz w:val="24"/>
                <w:szCs w:val="24"/>
              </w:rPr>
            </w:pPr>
            <w:r>
              <w:rPr>
                <w:rFonts w:ascii="Times New Roman" w:hAnsi="Times New Roman" w:cs="Times New Roman"/>
                <w:color w:val="#000000"/>
                <w:sz w:val="24"/>
                <w:szCs w:val="24"/>
              </w:rPr>
              <w:t> 3. Роль социально-экономических исследований в принятии научно обоснованных решений</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Парадигмы в становлении современных социально-экономических наук</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Парадигмальный подход к оценке развития современного социального знания</w:t>
            </w:r>
          </w:p>
          <w:p>
            <w:pPr>
              <w:jc w:val="both"/>
              <w:spacing w:after="0" w:line="240" w:lineRule="auto"/>
              <w:rPr>
                <w:sz w:val="24"/>
                <w:szCs w:val="24"/>
              </w:rPr>
            </w:pPr>
            <w:r>
              <w:rPr>
                <w:rFonts w:ascii="Times New Roman" w:hAnsi="Times New Roman" w:cs="Times New Roman"/>
                <w:color w:val="#000000"/>
                <w:sz w:val="24"/>
                <w:szCs w:val="24"/>
              </w:rPr>
              <w:t> 1.1. Дисциплинарная матрица Т. Куна и блоковые основы экономической науки</w:t>
            </w:r>
          </w:p>
          <w:p>
            <w:pPr>
              <w:jc w:val="both"/>
              <w:spacing w:after="0" w:line="240" w:lineRule="auto"/>
              <w:rPr>
                <w:sz w:val="24"/>
                <w:szCs w:val="24"/>
              </w:rPr>
            </w:pPr>
            <w:r>
              <w:rPr>
                <w:rFonts w:ascii="Times New Roman" w:hAnsi="Times New Roman" w:cs="Times New Roman"/>
                <w:color w:val="#000000"/>
                <w:sz w:val="24"/>
                <w:szCs w:val="24"/>
              </w:rPr>
              <w:t> 1.2. Структура современного экономического знания</w:t>
            </w:r>
          </w:p>
          <w:p>
            <w:pPr>
              <w:jc w:val="both"/>
              <w:spacing w:after="0" w:line="240" w:lineRule="auto"/>
              <w:rPr>
                <w:sz w:val="24"/>
                <w:szCs w:val="24"/>
              </w:rPr>
            </w:pPr>
            <w:r>
              <w:rPr>
                <w:rFonts w:ascii="Times New Roman" w:hAnsi="Times New Roman" w:cs="Times New Roman"/>
                <w:color w:val="#000000"/>
                <w:sz w:val="24"/>
                <w:szCs w:val="24"/>
              </w:rPr>
              <w:t> 2. Базовые парадигмы экономической науки (Классическая школа; Маржинализм; Марксизм; Кейнсианство; Монетаризм; Институционализм; Содержание базовых парадигм экономической науки)</w:t>
            </w:r>
          </w:p>
          <w:p>
            <w:pPr>
              <w:jc w:val="both"/>
              <w:spacing w:after="0" w:line="240" w:lineRule="auto"/>
              <w:rPr>
                <w:sz w:val="24"/>
                <w:szCs w:val="24"/>
              </w:rPr>
            </w:pPr>
            <w:r>
              <w:rPr>
                <w:rFonts w:ascii="Times New Roman" w:hAnsi="Times New Roman" w:cs="Times New Roman"/>
                <w:color w:val="#000000"/>
                <w:sz w:val="24"/>
                <w:szCs w:val="24"/>
              </w:rPr>
              <w:t> 3. Базовые парадигмы науки об управлении (Административная парадигма; Социальная парадигма; Бюрократическая парадигма; Системная парадигма; Синергетическая парадигма)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и тенденции развития науки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научных исследований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методе и методологии исследования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научного исследования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исследования. Основы эксперимента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организации и проведения научных исследований в экономической науке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Парадигмы в становлении современных социально-экономических наук</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«Методы исследования в управлении»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978-5-534-07187-0.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978-5-534-14167-2.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https://urait.ru/bcode/467963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757.050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Магистерская</w:t>
            </w:r>
            <w:r>
              <w:rPr/>
              <w:t xml:space="preserve"> </w:t>
            </w:r>
            <w:r>
              <w:rPr>
                <w:rFonts w:ascii="Times New Roman" w:hAnsi="Times New Roman" w:cs="Times New Roman"/>
                <w:color w:val="#000000"/>
                <w:sz w:val="24"/>
                <w:szCs w:val="24"/>
              </w:rPr>
              <w:t>диссертация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https://urait.ru/bcode/455367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Курсовая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https://urait.ru/bcode/455346</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9.7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85.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2023-2024_ФГОС3++2023_Бак-ОФО-УП(ДОП)(23)_plx_Методы исследования в управлении</dc:title>
  <dc:creator>FastReport.NET</dc:creator>
</cp:coreProperties>
</file>